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BF" w:rsidRPr="00BB09A6" w:rsidRDefault="00BB71C5" w:rsidP="003201BF">
      <w:pPr>
        <w:jc w:val="right"/>
        <w:rPr>
          <w:b/>
          <w:lang w:val="en-US"/>
        </w:rPr>
      </w:pPr>
      <w:proofErr w:type="gramStart"/>
      <w:r>
        <w:rPr>
          <w:b/>
          <w:lang w:val="en-US"/>
        </w:rPr>
        <w:t>DM/</w:t>
      </w:r>
      <w:r w:rsidR="003201BF" w:rsidRPr="00BB09A6">
        <w:rPr>
          <w:b/>
          <w:lang w:val="en-US"/>
        </w:rPr>
        <w:t>IM 1.</w:t>
      </w:r>
      <w:r w:rsidR="00EC4FD0">
        <w:rPr>
          <w:b/>
          <w:lang w:val="en-US"/>
        </w:rPr>
        <w:t>3</w:t>
      </w:r>
      <w:r w:rsidR="003201BF" w:rsidRPr="00BB09A6">
        <w:rPr>
          <w:b/>
          <w:lang w:val="en-US"/>
        </w:rPr>
        <w:t>.1.</w:t>
      </w:r>
      <w:proofErr w:type="gramEnd"/>
    </w:p>
    <w:p w:rsidR="003201BF" w:rsidRDefault="003201BF" w:rsidP="003201BF">
      <w:pPr>
        <w:rPr>
          <w:b/>
          <w:lang w:val="en-US"/>
        </w:rPr>
      </w:pPr>
      <w:proofErr w:type="spellStart"/>
      <w:r w:rsidRPr="006843C7">
        <w:rPr>
          <w:b/>
          <w:lang w:val="en-US"/>
        </w:rPr>
        <w:t>Definīciju</w:t>
      </w:r>
      <w:proofErr w:type="spellEnd"/>
      <w:r w:rsidRPr="006843C7">
        <w:rPr>
          <w:b/>
          <w:lang w:val="en-US"/>
        </w:rPr>
        <w:t xml:space="preserve"> </w:t>
      </w:r>
      <w:proofErr w:type="spellStart"/>
      <w:r w:rsidRPr="006843C7">
        <w:rPr>
          <w:b/>
          <w:lang w:val="en-US"/>
        </w:rPr>
        <w:t>lapa</w:t>
      </w:r>
      <w:proofErr w:type="spellEnd"/>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3201BF" w:rsidRPr="006843C7" w:rsidTr="00E04300">
        <w:tc>
          <w:tcPr>
            <w:tcW w:w="2235" w:type="dxa"/>
          </w:tcPr>
          <w:p w:rsidR="003201BF" w:rsidRPr="006843C7" w:rsidRDefault="003201BF" w:rsidP="003201BF">
            <w:pPr>
              <w:ind w:firstLine="0"/>
              <w:jc w:val="left"/>
              <w:rPr>
                <w:lang w:val="en-US"/>
              </w:rPr>
            </w:pPr>
            <w:proofErr w:type="spellStart"/>
            <w:r w:rsidRPr="006843C7">
              <w:rPr>
                <w:rStyle w:val="Strong"/>
                <w:lang w:val="en-US"/>
              </w:rPr>
              <w:t>Attīstības</w:t>
            </w:r>
            <w:proofErr w:type="spellEnd"/>
            <w:r w:rsidRPr="006843C7">
              <w:rPr>
                <w:lang w:val="en-US"/>
              </w:rPr>
              <w:t xml:space="preserve"> </w:t>
            </w:r>
            <w:proofErr w:type="spellStart"/>
            <w:r w:rsidRPr="006843C7">
              <w:rPr>
                <w:lang w:val="en-US"/>
              </w:rPr>
              <w:t>jeb</w:t>
            </w:r>
            <w:proofErr w:type="spellEnd"/>
            <w:r w:rsidRPr="006843C7">
              <w:rPr>
                <w:lang w:val="en-US"/>
              </w:rPr>
              <w:t xml:space="preserve"> </w:t>
            </w:r>
            <w:proofErr w:type="spellStart"/>
            <w:r w:rsidRPr="006843C7">
              <w:rPr>
                <w:rStyle w:val="Strong"/>
                <w:lang w:val="en-US"/>
              </w:rPr>
              <w:t>globālā</w:t>
            </w:r>
            <w:proofErr w:type="spellEnd"/>
            <w:r w:rsidRPr="006843C7">
              <w:rPr>
                <w:rStyle w:val="Strong"/>
                <w:lang w:val="en-US"/>
              </w:rPr>
              <w:t xml:space="preserve"> </w:t>
            </w:r>
            <w:proofErr w:type="spellStart"/>
            <w:r w:rsidRPr="006843C7">
              <w:rPr>
                <w:rStyle w:val="Strong"/>
                <w:lang w:val="en-US"/>
              </w:rPr>
              <w:t>izglītība</w:t>
            </w:r>
            <w:proofErr w:type="spellEnd"/>
          </w:p>
        </w:tc>
        <w:tc>
          <w:tcPr>
            <w:tcW w:w="7938" w:type="dxa"/>
          </w:tcPr>
          <w:p w:rsidR="003201BF" w:rsidRPr="0068116D" w:rsidRDefault="003201BF" w:rsidP="00BB09A6">
            <w:pPr>
              <w:numPr>
                <w:ilvl w:val="0"/>
                <w:numId w:val="4"/>
              </w:numPr>
              <w:rPr>
                <w:sz w:val="22"/>
                <w:szCs w:val="22"/>
              </w:rPr>
            </w:pPr>
            <w:r w:rsidRPr="0068116D">
              <w:rPr>
                <w:sz w:val="22"/>
                <w:szCs w:val="22"/>
              </w:rPr>
              <w:t xml:space="preserve">kā ideju kopums un izglītības virziens </w:t>
            </w:r>
            <w:r w:rsidR="0068116D" w:rsidRPr="0068116D">
              <w:rPr>
                <w:sz w:val="22"/>
                <w:szCs w:val="22"/>
              </w:rPr>
              <w:t xml:space="preserve">- </w:t>
            </w:r>
            <w:r w:rsidRPr="0068116D">
              <w:rPr>
                <w:sz w:val="22"/>
                <w:szCs w:val="22"/>
              </w:rPr>
              <w:t>attieksm</w:t>
            </w:r>
            <w:r w:rsidR="0068116D" w:rsidRPr="0068116D">
              <w:rPr>
                <w:sz w:val="22"/>
                <w:szCs w:val="22"/>
              </w:rPr>
              <w:t>e un atbilde</w:t>
            </w:r>
            <w:r w:rsidRPr="0068116D">
              <w:rPr>
                <w:sz w:val="22"/>
                <w:szCs w:val="22"/>
              </w:rPr>
              <w:t xml:space="preserve"> uz arvien pieaugošo globalizāciju visās mūsdienu dzīves jomās. </w:t>
            </w:r>
          </w:p>
          <w:p w:rsidR="003201BF" w:rsidRPr="0068116D" w:rsidRDefault="003201BF" w:rsidP="00BB09A6">
            <w:pPr>
              <w:numPr>
                <w:ilvl w:val="0"/>
                <w:numId w:val="4"/>
              </w:numPr>
              <w:rPr>
                <w:bCs/>
                <w:sz w:val="22"/>
                <w:szCs w:val="22"/>
              </w:rPr>
            </w:pPr>
            <w:r w:rsidRPr="0068116D">
              <w:rPr>
                <w:bCs/>
                <w:sz w:val="22"/>
                <w:szCs w:val="22"/>
              </w:rPr>
              <w:t xml:space="preserve">kā </w:t>
            </w:r>
            <w:r w:rsidRPr="0068116D">
              <w:rPr>
                <w:bCs/>
                <w:iCs/>
                <w:sz w:val="22"/>
                <w:szCs w:val="22"/>
              </w:rPr>
              <w:t>mācīšanās stils un domāšanas veids</w:t>
            </w:r>
            <w:r w:rsidRPr="0068116D">
              <w:rPr>
                <w:bCs/>
                <w:sz w:val="22"/>
                <w:szCs w:val="22"/>
              </w:rPr>
              <w:t>, aicina cilvēkus saskatīt sakarības starp vietējo, reģionālo un globālo mērogu un vērsties pret</w:t>
            </w:r>
            <w:r w:rsidRPr="0068116D">
              <w:rPr>
                <w:sz w:val="22"/>
                <w:szCs w:val="22"/>
              </w:rPr>
              <w:t xml:space="preserve"> </w:t>
            </w:r>
            <w:r w:rsidRPr="0068116D">
              <w:rPr>
                <w:bCs/>
                <w:sz w:val="22"/>
                <w:szCs w:val="22"/>
              </w:rPr>
              <w:t>nevienlīdzību,</w:t>
            </w:r>
            <w:r w:rsidRPr="0068116D">
              <w:rPr>
                <w:sz w:val="22"/>
                <w:szCs w:val="22"/>
              </w:rPr>
              <w:t xml:space="preserve"> veicinot personisku iesaisti un informētu lēmumu pieņemšanu</w:t>
            </w:r>
            <w:r w:rsidRPr="0068116D">
              <w:rPr>
                <w:bCs/>
                <w:sz w:val="22"/>
                <w:szCs w:val="22"/>
              </w:rPr>
              <w:t>;</w:t>
            </w:r>
          </w:p>
          <w:p w:rsidR="003201BF" w:rsidRPr="0068116D" w:rsidRDefault="003201BF" w:rsidP="00BB09A6">
            <w:pPr>
              <w:numPr>
                <w:ilvl w:val="0"/>
                <w:numId w:val="4"/>
              </w:numPr>
              <w:rPr>
                <w:bCs/>
                <w:sz w:val="22"/>
                <w:szCs w:val="22"/>
              </w:rPr>
            </w:pPr>
            <w:r w:rsidRPr="0068116D">
              <w:rPr>
                <w:sz w:val="22"/>
                <w:szCs w:val="22"/>
              </w:rPr>
              <w:t>pedagoģisks līdzeklis, lai atbalstītu formālas un neformālas sistēmas izglītotājiem izprast un īstenot pramsē globālās izglītības aktivitātes tām atbilstošā kontekstā;</w:t>
            </w:r>
          </w:p>
          <w:p w:rsidR="003201BF" w:rsidRPr="0068116D" w:rsidRDefault="003201BF" w:rsidP="00BB09A6">
            <w:pPr>
              <w:ind w:firstLine="0"/>
              <w:rPr>
                <w:sz w:val="22"/>
                <w:szCs w:val="22"/>
              </w:rPr>
            </w:pPr>
            <w:r w:rsidRPr="0068116D">
              <w:rPr>
                <w:sz w:val="22"/>
                <w:szCs w:val="22"/>
              </w:rPr>
              <w:t>Attīstības izglītība balstās uz solidaritātes, vienlīdzības, iekļaušanas un sadarbības principiem.</w:t>
            </w:r>
          </w:p>
        </w:tc>
      </w:tr>
      <w:tr w:rsidR="003201BF" w:rsidRPr="006843C7" w:rsidTr="00E04300">
        <w:tc>
          <w:tcPr>
            <w:tcW w:w="2235" w:type="dxa"/>
          </w:tcPr>
          <w:p w:rsidR="003201BF" w:rsidRPr="006843C7" w:rsidRDefault="003201BF" w:rsidP="004A34EA">
            <w:pPr>
              <w:ind w:firstLine="0"/>
              <w:rPr>
                <w:b/>
              </w:rPr>
            </w:pPr>
            <w:r w:rsidRPr="006843C7">
              <w:rPr>
                <w:b/>
              </w:rPr>
              <w:t>Cilvēktiesību izglītība</w:t>
            </w:r>
          </w:p>
        </w:tc>
        <w:tc>
          <w:tcPr>
            <w:tcW w:w="7938" w:type="dxa"/>
          </w:tcPr>
          <w:p w:rsidR="003201BF" w:rsidRPr="0068116D" w:rsidRDefault="003201BF" w:rsidP="00BB09A6">
            <w:pPr>
              <w:pStyle w:val="ListParagraph"/>
              <w:numPr>
                <w:ilvl w:val="0"/>
                <w:numId w:val="4"/>
              </w:numPr>
              <w:rPr>
                <w:sz w:val="22"/>
                <w:szCs w:val="22"/>
              </w:rPr>
            </w:pPr>
            <w:r w:rsidRPr="0068116D">
              <w:rPr>
                <w:sz w:val="22"/>
                <w:szCs w:val="22"/>
              </w:rPr>
              <w:t>izglītība, kas padziļina cilvēktiesību izpratni, starptautisko cilvēktiesību un nacionālās likumdošanas attiecību izpratni, kā arī paplašina zināšanas starptautisko un nacionālo cilvēktiesību standartu piemērošanā praksē</w:t>
            </w:r>
          </w:p>
        </w:tc>
      </w:tr>
      <w:tr w:rsidR="003201BF" w:rsidRPr="006843C7" w:rsidTr="00E04300">
        <w:tc>
          <w:tcPr>
            <w:tcW w:w="2235" w:type="dxa"/>
          </w:tcPr>
          <w:p w:rsidR="003201BF" w:rsidRPr="006843C7" w:rsidRDefault="003201BF" w:rsidP="004A34EA">
            <w:pPr>
              <w:ind w:firstLine="0"/>
              <w:rPr>
                <w:b/>
              </w:rPr>
            </w:pPr>
            <w:r w:rsidRPr="006843C7">
              <w:rPr>
                <w:b/>
              </w:rPr>
              <w:t>Ilgtspējīga attīstība</w:t>
            </w:r>
          </w:p>
        </w:tc>
        <w:tc>
          <w:tcPr>
            <w:tcW w:w="7938" w:type="dxa"/>
          </w:tcPr>
          <w:p w:rsidR="003201BF" w:rsidRPr="0068116D" w:rsidRDefault="003201BF" w:rsidP="00BB09A6">
            <w:pPr>
              <w:pStyle w:val="ListParagraph"/>
              <w:numPr>
                <w:ilvl w:val="0"/>
                <w:numId w:val="4"/>
              </w:numPr>
              <w:rPr>
                <w:sz w:val="22"/>
                <w:szCs w:val="22"/>
              </w:rPr>
            </w:pPr>
            <w:r w:rsidRPr="0068116D">
              <w:rPr>
                <w:sz w:val="22"/>
                <w:szCs w:val="22"/>
              </w:rPr>
              <w:t>attīstība, kas nodrošina mūsdienu paaudzes vajadzības, neradot grūtības nākamām paaudzēm nodrošināt savas vajadzības</w:t>
            </w:r>
          </w:p>
        </w:tc>
      </w:tr>
      <w:tr w:rsidR="003201BF" w:rsidRPr="006843C7" w:rsidTr="0068116D">
        <w:trPr>
          <w:trHeight w:val="2627"/>
        </w:trPr>
        <w:tc>
          <w:tcPr>
            <w:tcW w:w="2235" w:type="dxa"/>
          </w:tcPr>
          <w:p w:rsidR="003201BF" w:rsidRPr="006843C7" w:rsidRDefault="003201BF" w:rsidP="004A34EA">
            <w:pPr>
              <w:ind w:firstLine="0"/>
              <w:rPr>
                <w:b/>
              </w:rPr>
            </w:pPr>
            <w:r>
              <w:rPr>
                <w:b/>
              </w:rPr>
              <w:t>Izglītība ilgtspējīgai attīstībai</w:t>
            </w:r>
          </w:p>
        </w:tc>
        <w:tc>
          <w:tcPr>
            <w:tcW w:w="7938" w:type="dxa"/>
          </w:tcPr>
          <w:p w:rsidR="00651241" w:rsidRPr="0068116D" w:rsidRDefault="00651241" w:rsidP="00BB09A6">
            <w:pPr>
              <w:pStyle w:val="NormalWeb"/>
              <w:numPr>
                <w:ilvl w:val="0"/>
                <w:numId w:val="4"/>
              </w:numPr>
              <w:spacing w:before="0" w:beforeAutospacing="0" w:after="0" w:afterAutospacing="0"/>
              <w:jc w:val="both"/>
              <w:rPr>
                <w:sz w:val="22"/>
                <w:szCs w:val="22"/>
                <w:lang w:val="lv-LV"/>
              </w:rPr>
            </w:pPr>
            <w:r w:rsidRPr="0068116D">
              <w:rPr>
                <w:sz w:val="22"/>
                <w:szCs w:val="22"/>
                <w:lang w:val="lv-LV"/>
              </w:rPr>
              <w:t>mudina cilvēkus ar atbildību rīkoties ikdienas dzīvē un dzīvot un realizēt sevi saskaņā ar sociālo, kultūras, ekonomisko un dabas vidi sev apkārt. Tas nozīmē dzīvot ar skatu nākotnē – prast radoši atrisināt krīzes situācijas un adaptēties jaunā vidē.</w:t>
            </w:r>
          </w:p>
          <w:p w:rsidR="003201BF" w:rsidRPr="0068116D" w:rsidRDefault="00E04300" w:rsidP="00BB09A6">
            <w:pPr>
              <w:pStyle w:val="NormalWeb"/>
              <w:numPr>
                <w:ilvl w:val="0"/>
                <w:numId w:val="4"/>
              </w:numPr>
              <w:spacing w:before="0" w:beforeAutospacing="0" w:after="0" w:afterAutospacing="0"/>
              <w:jc w:val="both"/>
              <w:rPr>
                <w:sz w:val="22"/>
                <w:szCs w:val="22"/>
                <w:lang w:val="lv-LV"/>
              </w:rPr>
            </w:pPr>
            <w:r w:rsidRPr="0068116D">
              <w:rPr>
                <w:sz w:val="22"/>
                <w:szCs w:val="22"/>
                <w:lang w:val="lv-LV"/>
              </w:rPr>
              <w:t xml:space="preserve">Rezultāts: </w:t>
            </w:r>
            <w:r w:rsidR="00651241" w:rsidRPr="0068116D">
              <w:rPr>
                <w:sz w:val="22"/>
                <w:szCs w:val="22"/>
                <w:lang w:val="lv-LV"/>
              </w:rPr>
              <w:t>cilvēks, kurš dzīvo ne tikai saskaņā ar dabu un mierpilnā saskaņā ar citām kultūrām, bet arī spēj sevi pilnvērtīgi realizēt tautsaimniecībā un sabiedrībā kopumā, nodrošinot resursu ilgtermiņa un pārdomātu izmantošanu. Šāds cilvēks prot izprast lokālas problēmas, kā arī skatīt tās globālā kontekstā, izprast citas kultūras ar cieņu, kā arī radīt mierpilnu un ilgtspējīgu sabiedrību un tās ekonom</w:t>
            </w:r>
            <w:bookmarkStart w:id="0" w:name="_GoBack"/>
            <w:bookmarkEnd w:id="0"/>
            <w:r w:rsidR="00651241" w:rsidRPr="0068116D">
              <w:rPr>
                <w:sz w:val="22"/>
                <w:szCs w:val="22"/>
                <w:lang w:val="lv-LV"/>
              </w:rPr>
              <w:t xml:space="preserve">isko izaugsmi. </w:t>
            </w:r>
          </w:p>
        </w:tc>
      </w:tr>
      <w:tr w:rsidR="003201BF" w:rsidRPr="006843C7" w:rsidTr="00E04300">
        <w:tc>
          <w:tcPr>
            <w:tcW w:w="2235" w:type="dxa"/>
          </w:tcPr>
          <w:p w:rsidR="003201BF" w:rsidRPr="006843C7" w:rsidRDefault="003201BF" w:rsidP="004A34EA">
            <w:pPr>
              <w:ind w:firstLine="0"/>
              <w:rPr>
                <w:b/>
              </w:rPr>
            </w:pPr>
            <w:r w:rsidRPr="006843C7">
              <w:rPr>
                <w:b/>
              </w:rPr>
              <w:t>Mediju izglītība</w:t>
            </w:r>
          </w:p>
        </w:tc>
        <w:tc>
          <w:tcPr>
            <w:tcW w:w="7938" w:type="dxa"/>
          </w:tcPr>
          <w:p w:rsidR="003201BF" w:rsidRPr="0068116D" w:rsidRDefault="003201BF" w:rsidP="00BB09A6">
            <w:pPr>
              <w:numPr>
                <w:ilvl w:val="0"/>
                <w:numId w:val="4"/>
              </w:numPr>
              <w:rPr>
                <w:sz w:val="22"/>
                <w:szCs w:val="22"/>
              </w:rPr>
            </w:pPr>
            <w:r w:rsidRPr="0068116D">
              <w:rPr>
                <w:color w:val="000000"/>
                <w:sz w:val="22"/>
                <w:szCs w:val="22"/>
              </w:rPr>
              <w:t>zinātnes apakšnozare, kas veidojusies līdz ar mediju ienākšanu bērnu, pusaudžu un jauniešu ikdienas dzīvē. 21. gadsimta realitātē arvien biežāk nonākam strupceļā, kurā tradicionālajam pedagoģiskajam procesam kļūst arvien grūtāk sacensties ar mediju pārliecinošo ietekmi uz pieredzes un dzīves pozīcijas veidošanos;</w:t>
            </w:r>
          </w:p>
          <w:p w:rsidR="003201BF" w:rsidRPr="0068116D" w:rsidRDefault="003201BF" w:rsidP="00BB09A6">
            <w:pPr>
              <w:numPr>
                <w:ilvl w:val="0"/>
                <w:numId w:val="4"/>
              </w:numPr>
              <w:rPr>
                <w:sz w:val="22"/>
                <w:szCs w:val="22"/>
              </w:rPr>
            </w:pPr>
            <w:r w:rsidRPr="0068116D">
              <w:rPr>
                <w:sz w:val="22"/>
                <w:szCs w:val="22"/>
              </w:rPr>
              <w:t>efektīvu izglītojošo pasākumu kopums, kas veicina aktīvu, kritisku un saprātīgu mediju lietošanu un kompetences analizēt, izvērtēt un veidot dažādu žanru un formu  mediju vēstījumus;</w:t>
            </w:r>
          </w:p>
        </w:tc>
      </w:tr>
      <w:tr w:rsidR="003201BF" w:rsidRPr="006843C7" w:rsidTr="00E04300">
        <w:tc>
          <w:tcPr>
            <w:tcW w:w="2235" w:type="dxa"/>
          </w:tcPr>
          <w:p w:rsidR="003201BF" w:rsidRPr="006843C7" w:rsidRDefault="003201BF" w:rsidP="004A34EA">
            <w:pPr>
              <w:ind w:firstLine="0"/>
              <w:rPr>
                <w:b/>
              </w:rPr>
            </w:pPr>
            <w:r w:rsidRPr="006843C7">
              <w:rPr>
                <w:b/>
              </w:rPr>
              <w:t xml:space="preserve">Patērētājizglītība </w:t>
            </w:r>
          </w:p>
        </w:tc>
        <w:tc>
          <w:tcPr>
            <w:tcW w:w="7938" w:type="dxa"/>
          </w:tcPr>
          <w:p w:rsidR="003201BF" w:rsidRPr="0068116D" w:rsidRDefault="003201BF" w:rsidP="00BB09A6">
            <w:pPr>
              <w:numPr>
                <w:ilvl w:val="0"/>
                <w:numId w:val="4"/>
              </w:numPr>
              <w:autoSpaceDE w:val="0"/>
              <w:autoSpaceDN w:val="0"/>
              <w:adjustRightInd w:val="0"/>
              <w:rPr>
                <w:rFonts w:eastAsia="TimesNewRoman"/>
                <w:sz w:val="22"/>
                <w:szCs w:val="22"/>
              </w:rPr>
            </w:pPr>
            <w:r w:rsidRPr="0068116D">
              <w:rPr>
                <w:sz w:val="22"/>
                <w:szCs w:val="22"/>
              </w:rPr>
              <w:t>apl</w:t>
            </w:r>
            <w:r w:rsidRPr="0068116D">
              <w:rPr>
                <w:rFonts w:eastAsia="TimesNewRoman"/>
                <w:sz w:val="22"/>
                <w:szCs w:val="22"/>
              </w:rPr>
              <w:t>ū</w:t>
            </w:r>
            <w:r w:rsidRPr="0068116D">
              <w:rPr>
                <w:sz w:val="22"/>
                <w:szCs w:val="22"/>
              </w:rPr>
              <w:t>ko attieksmi, iztur</w:t>
            </w:r>
            <w:r w:rsidRPr="0068116D">
              <w:rPr>
                <w:rFonts w:eastAsia="TimesNewRoman"/>
                <w:sz w:val="22"/>
                <w:szCs w:val="22"/>
              </w:rPr>
              <w:t>ēš</w:t>
            </w:r>
            <w:r w:rsidRPr="0068116D">
              <w:rPr>
                <w:sz w:val="22"/>
                <w:szCs w:val="22"/>
              </w:rPr>
              <w:t>anos, zin</w:t>
            </w:r>
            <w:r w:rsidRPr="0068116D">
              <w:rPr>
                <w:rFonts w:eastAsia="TimesNewRoman"/>
                <w:sz w:val="22"/>
                <w:szCs w:val="22"/>
              </w:rPr>
              <w:t>āš</w:t>
            </w:r>
            <w:r w:rsidRPr="0068116D">
              <w:rPr>
                <w:sz w:val="22"/>
                <w:szCs w:val="22"/>
              </w:rPr>
              <w:t>anas un prasmes, kuras nepiecie</w:t>
            </w:r>
            <w:r w:rsidRPr="0068116D">
              <w:rPr>
                <w:rFonts w:eastAsia="TimesNewRoman"/>
                <w:sz w:val="22"/>
                <w:szCs w:val="22"/>
              </w:rPr>
              <w:t>š</w:t>
            </w:r>
            <w:r w:rsidRPr="0068116D">
              <w:rPr>
                <w:sz w:val="22"/>
                <w:szCs w:val="22"/>
              </w:rPr>
              <w:t>amas ikvienam funkcion</w:t>
            </w:r>
            <w:r w:rsidRPr="0068116D">
              <w:rPr>
                <w:rFonts w:eastAsia="TimesNewRoman"/>
                <w:sz w:val="22"/>
                <w:szCs w:val="22"/>
              </w:rPr>
              <w:t>ēš</w:t>
            </w:r>
            <w:r w:rsidRPr="0068116D">
              <w:rPr>
                <w:sz w:val="22"/>
                <w:szCs w:val="22"/>
              </w:rPr>
              <w:t>anai m</w:t>
            </w:r>
            <w:r w:rsidRPr="0068116D">
              <w:rPr>
                <w:rFonts w:eastAsia="TimesNewRoman"/>
                <w:sz w:val="22"/>
                <w:szCs w:val="22"/>
              </w:rPr>
              <w:t>ū</w:t>
            </w:r>
            <w:r w:rsidRPr="0068116D">
              <w:rPr>
                <w:sz w:val="22"/>
                <w:szCs w:val="22"/>
              </w:rPr>
              <w:t>sdienu sabiedr</w:t>
            </w:r>
            <w:r w:rsidRPr="0068116D">
              <w:rPr>
                <w:rFonts w:eastAsia="TimesNewRoman"/>
                <w:sz w:val="22"/>
                <w:szCs w:val="22"/>
              </w:rPr>
              <w:t>ī</w:t>
            </w:r>
            <w:r w:rsidRPr="0068116D">
              <w:rPr>
                <w:sz w:val="22"/>
                <w:szCs w:val="22"/>
              </w:rPr>
              <w:t>b</w:t>
            </w:r>
            <w:r w:rsidRPr="0068116D">
              <w:rPr>
                <w:rFonts w:eastAsia="TimesNewRoman"/>
                <w:sz w:val="22"/>
                <w:szCs w:val="22"/>
              </w:rPr>
              <w:t>ā</w:t>
            </w:r>
            <w:r w:rsidRPr="0068116D">
              <w:rPr>
                <w:sz w:val="22"/>
                <w:szCs w:val="22"/>
              </w:rPr>
              <w:t>. T</w:t>
            </w:r>
            <w:r w:rsidRPr="0068116D">
              <w:rPr>
                <w:rFonts w:eastAsia="TimesNewRoman"/>
                <w:sz w:val="22"/>
                <w:szCs w:val="22"/>
              </w:rPr>
              <w:t xml:space="preserve">ā </w:t>
            </w:r>
            <w:r w:rsidRPr="0068116D">
              <w:rPr>
                <w:sz w:val="22"/>
                <w:szCs w:val="22"/>
              </w:rPr>
              <w:t>ir atbild</w:t>
            </w:r>
            <w:r w:rsidRPr="0068116D">
              <w:rPr>
                <w:rFonts w:eastAsia="TimesNewRoman"/>
                <w:sz w:val="22"/>
                <w:szCs w:val="22"/>
              </w:rPr>
              <w:t>ī</w:t>
            </w:r>
            <w:r w:rsidRPr="0068116D">
              <w:rPr>
                <w:sz w:val="22"/>
                <w:szCs w:val="22"/>
              </w:rPr>
              <w:t>gam</w:t>
            </w:r>
            <w:r w:rsidRPr="0068116D">
              <w:rPr>
                <w:rFonts w:eastAsia="TimesNewRoman"/>
                <w:sz w:val="22"/>
                <w:szCs w:val="22"/>
              </w:rPr>
              <w:t>ā</w:t>
            </w:r>
            <w:r w:rsidRPr="0068116D">
              <w:rPr>
                <w:sz w:val="22"/>
                <w:szCs w:val="22"/>
              </w:rPr>
              <w:t>c</w:t>
            </w:r>
            <w:r w:rsidRPr="0068116D">
              <w:rPr>
                <w:rFonts w:eastAsia="TimesNewRoman"/>
                <w:sz w:val="22"/>
                <w:szCs w:val="22"/>
              </w:rPr>
              <w:t>īš</w:t>
            </w:r>
            <w:r w:rsidRPr="0068116D">
              <w:rPr>
                <w:sz w:val="22"/>
                <w:szCs w:val="22"/>
              </w:rPr>
              <w:t>an</w:t>
            </w:r>
            <w:r w:rsidRPr="0068116D">
              <w:rPr>
                <w:rFonts w:eastAsia="TimesNewRoman"/>
                <w:sz w:val="22"/>
                <w:szCs w:val="22"/>
              </w:rPr>
              <w:t>ā</w:t>
            </w:r>
            <w:r w:rsidRPr="0068116D">
              <w:rPr>
                <w:sz w:val="22"/>
                <w:szCs w:val="22"/>
              </w:rPr>
              <w:t>s, kura sekm</w:t>
            </w:r>
            <w:r w:rsidRPr="0068116D">
              <w:rPr>
                <w:rFonts w:eastAsia="TimesNewRoman"/>
                <w:sz w:val="22"/>
                <w:szCs w:val="22"/>
              </w:rPr>
              <w:t xml:space="preserve">ē </w:t>
            </w:r>
            <w:r w:rsidRPr="0068116D">
              <w:rPr>
                <w:sz w:val="22"/>
                <w:szCs w:val="22"/>
              </w:rPr>
              <w:t>individu</w:t>
            </w:r>
            <w:r w:rsidRPr="0068116D">
              <w:rPr>
                <w:rFonts w:eastAsia="TimesNewRoman"/>
                <w:sz w:val="22"/>
                <w:szCs w:val="22"/>
              </w:rPr>
              <w:t>ā</w:t>
            </w:r>
            <w:r w:rsidRPr="0068116D">
              <w:rPr>
                <w:sz w:val="22"/>
                <w:szCs w:val="22"/>
              </w:rPr>
              <w:t>lo sp</w:t>
            </w:r>
            <w:r w:rsidRPr="0068116D">
              <w:rPr>
                <w:rFonts w:eastAsia="TimesNewRoman"/>
                <w:sz w:val="22"/>
                <w:szCs w:val="22"/>
              </w:rPr>
              <w:t>ē</w:t>
            </w:r>
            <w:r w:rsidRPr="0068116D">
              <w:rPr>
                <w:sz w:val="22"/>
                <w:szCs w:val="22"/>
              </w:rPr>
              <w:t>ju att</w:t>
            </w:r>
            <w:r w:rsidRPr="0068116D">
              <w:rPr>
                <w:rFonts w:eastAsia="TimesNewRoman"/>
                <w:sz w:val="22"/>
                <w:szCs w:val="22"/>
              </w:rPr>
              <w:t>ī</w:t>
            </w:r>
            <w:r w:rsidRPr="0068116D">
              <w:rPr>
                <w:sz w:val="22"/>
                <w:szCs w:val="22"/>
              </w:rPr>
              <w:t>st</w:t>
            </w:r>
            <w:r w:rsidRPr="0068116D">
              <w:rPr>
                <w:rFonts w:eastAsia="TimesNewRoman"/>
                <w:sz w:val="22"/>
                <w:szCs w:val="22"/>
              </w:rPr>
              <w:t>īš</w:t>
            </w:r>
            <w:r w:rsidRPr="0068116D">
              <w:rPr>
                <w:sz w:val="22"/>
                <w:szCs w:val="22"/>
              </w:rPr>
              <w:t>anu pa</w:t>
            </w:r>
            <w:r w:rsidRPr="0068116D">
              <w:rPr>
                <w:rFonts w:eastAsia="TimesNewRoman"/>
                <w:sz w:val="22"/>
                <w:szCs w:val="22"/>
              </w:rPr>
              <w:t>š</w:t>
            </w:r>
            <w:r w:rsidRPr="0068116D">
              <w:rPr>
                <w:sz w:val="22"/>
                <w:szCs w:val="22"/>
              </w:rPr>
              <w:t>a dz</w:t>
            </w:r>
            <w:r w:rsidRPr="0068116D">
              <w:rPr>
                <w:rFonts w:eastAsia="TimesNewRoman"/>
                <w:sz w:val="22"/>
                <w:szCs w:val="22"/>
              </w:rPr>
              <w:t>ī</w:t>
            </w:r>
            <w:r w:rsidRPr="0068116D">
              <w:rPr>
                <w:sz w:val="22"/>
                <w:szCs w:val="22"/>
              </w:rPr>
              <w:t>ves vad</w:t>
            </w:r>
            <w:r w:rsidRPr="0068116D">
              <w:rPr>
                <w:rFonts w:eastAsia="TimesNewRoman"/>
                <w:sz w:val="22"/>
                <w:szCs w:val="22"/>
              </w:rPr>
              <w:t>īš</w:t>
            </w:r>
            <w:r w:rsidRPr="0068116D">
              <w:rPr>
                <w:sz w:val="22"/>
                <w:szCs w:val="22"/>
              </w:rPr>
              <w:t>anai, glob</w:t>
            </w:r>
            <w:r w:rsidRPr="0068116D">
              <w:rPr>
                <w:rFonts w:eastAsia="TimesNewRoman"/>
                <w:sz w:val="22"/>
                <w:szCs w:val="22"/>
              </w:rPr>
              <w:t>ā</w:t>
            </w:r>
            <w:r w:rsidRPr="0068116D">
              <w:rPr>
                <w:sz w:val="22"/>
                <w:szCs w:val="22"/>
              </w:rPr>
              <w:t>l</w:t>
            </w:r>
            <w:r w:rsidRPr="0068116D">
              <w:rPr>
                <w:rFonts w:eastAsia="TimesNewRoman"/>
                <w:sz w:val="22"/>
                <w:szCs w:val="22"/>
              </w:rPr>
              <w:t>ā</w:t>
            </w:r>
            <w:r w:rsidRPr="0068116D">
              <w:rPr>
                <w:sz w:val="22"/>
                <w:szCs w:val="22"/>
              </w:rPr>
              <w:t>s sabiedr</w:t>
            </w:r>
            <w:r w:rsidRPr="0068116D">
              <w:rPr>
                <w:rFonts w:eastAsia="TimesNewRoman"/>
                <w:sz w:val="22"/>
                <w:szCs w:val="22"/>
              </w:rPr>
              <w:t>ī</w:t>
            </w:r>
            <w:r w:rsidRPr="0068116D">
              <w:rPr>
                <w:sz w:val="22"/>
                <w:szCs w:val="22"/>
              </w:rPr>
              <w:t>bas dz</w:t>
            </w:r>
            <w:r w:rsidRPr="0068116D">
              <w:rPr>
                <w:rFonts w:eastAsia="TimesNewRoman"/>
                <w:sz w:val="22"/>
                <w:szCs w:val="22"/>
              </w:rPr>
              <w:t>ī</w:t>
            </w:r>
            <w:r w:rsidRPr="0068116D">
              <w:rPr>
                <w:sz w:val="22"/>
                <w:szCs w:val="22"/>
              </w:rPr>
              <w:t>ves kontekst</w:t>
            </w:r>
            <w:r w:rsidRPr="0068116D">
              <w:rPr>
                <w:rFonts w:eastAsia="TimesNewRoman"/>
                <w:sz w:val="22"/>
                <w:szCs w:val="22"/>
              </w:rPr>
              <w:t>ā;</w:t>
            </w:r>
          </w:p>
          <w:p w:rsidR="003201BF" w:rsidRPr="0068116D" w:rsidRDefault="003201BF" w:rsidP="00BB09A6">
            <w:pPr>
              <w:numPr>
                <w:ilvl w:val="0"/>
                <w:numId w:val="4"/>
              </w:numPr>
              <w:autoSpaceDE w:val="0"/>
              <w:autoSpaceDN w:val="0"/>
              <w:adjustRightInd w:val="0"/>
              <w:jc w:val="left"/>
              <w:rPr>
                <w:sz w:val="22"/>
                <w:szCs w:val="22"/>
              </w:rPr>
            </w:pPr>
            <w:r w:rsidRPr="0068116D">
              <w:rPr>
                <w:sz w:val="22"/>
                <w:szCs w:val="22"/>
              </w:rPr>
              <w:t>izgl</w:t>
            </w:r>
            <w:r w:rsidRPr="0068116D">
              <w:rPr>
                <w:rFonts w:eastAsia="TimesNewRoman"/>
                <w:sz w:val="22"/>
                <w:szCs w:val="22"/>
              </w:rPr>
              <w:t>ī</w:t>
            </w:r>
            <w:r w:rsidRPr="0068116D">
              <w:rPr>
                <w:sz w:val="22"/>
                <w:szCs w:val="22"/>
              </w:rPr>
              <w:t>to patst</w:t>
            </w:r>
            <w:r w:rsidRPr="0068116D">
              <w:rPr>
                <w:rFonts w:eastAsia="TimesNewRoman"/>
                <w:sz w:val="22"/>
                <w:szCs w:val="22"/>
              </w:rPr>
              <w:t>ā</w:t>
            </w:r>
            <w:r w:rsidRPr="0068116D">
              <w:rPr>
                <w:sz w:val="22"/>
                <w:szCs w:val="22"/>
              </w:rPr>
              <w:t>v</w:t>
            </w:r>
            <w:r w:rsidRPr="0068116D">
              <w:rPr>
                <w:rFonts w:eastAsia="TimesNewRoman"/>
                <w:sz w:val="22"/>
                <w:szCs w:val="22"/>
              </w:rPr>
              <w:t>ī</w:t>
            </w:r>
            <w:r w:rsidRPr="0068116D">
              <w:rPr>
                <w:sz w:val="22"/>
                <w:szCs w:val="22"/>
              </w:rPr>
              <w:t>gus, sp</w:t>
            </w:r>
            <w:r w:rsidRPr="0068116D">
              <w:rPr>
                <w:rFonts w:eastAsia="TimesNewRoman"/>
                <w:sz w:val="22"/>
                <w:szCs w:val="22"/>
              </w:rPr>
              <w:t>ē</w:t>
            </w:r>
            <w:r w:rsidRPr="0068116D">
              <w:rPr>
                <w:sz w:val="22"/>
                <w:szCs w:val="22"/>
              </w:rPr>
              <w:t>j</w:t>
            </w:r>
            <w:r w:rsidRPr="0068116D">
              <w:rPr>
                <w:rFonts w:eastAsia="TimesNewRoman"/>
                <w:sz w:val="22"/>
                <w:szCs w:val="22"/>
              </w:rPr>
              <w:t>ī</w:t>
            </w:r>
            <w:r w:rsidRPr="0068116D">
              <w:rPr>
                <w:sz w:val="22"/>
                <w:szCs w:val="22"/>
              </w:rPr>
              <w:t>gus saskat</w:t>
            </w:r>
            <w:r w:rsidRPr="0068116D">
              <w:rPr>
                <w:rFonts w:eastAsia="TimesNewRoman"/>
                <w:sz w:val="22"/>
                <w:szCs w:val="22"/>
              </w:rPr>
              <w:t>ī</w:t>
            </w:r>
            <w:r w:rsidRPr="0068116D">
              <w:rPr>
                <w:sz w:val="22"/>
                <w:szCs w:val="22"/>
              </w:rPr>
              <w:t>t at</w:t>
            </w:r>
            <w:r w:rsidRPr="0068116D">
              <w:rPr>
                <w:rFonts w:eastAsia="TimesNewRoman"/>
                <w:sz w:val="22"/>
                <w:szCs w:val="22"/>
              </w:rPr>
              <w:t>šķ</w:t>
            </w:r>
            <w:r w:rsidRPr="0068116D">
              <w:rPr>
                <w:sz w:val="22"/>
                <w:szCs w:val="22"/>
              </w:rPr>
              <w:t>ir</w:t>
            </w:r>
            <w:r w:rsidRPr="0068116D">
              <w:rPr>
                <w:rFonts w:eastAsia="TimesNewRoman"/>
                <w:sz w:val="22"/>
                <w:szCs w:val="22"/>
              </w:rPr>
              <w:t>ī</w:t>
            </w:r>
            <w:r w:rsidRPr="0068116D">
              <w:rPr>
                <w:sz w:val="22"/>
                <w:szCs w:val="22"/>
              </w:rPr>
              <w:t>bas un zino</w:t>
            </w:r>
            <w:r w:rsidRPr="0068116D">
              <w:rPr>
                <w:rFonts w:eastAsia="TimesNewRoman"/>
                <w:sz w:val="22"/>
                <w:szCs w:val="22"/>
              </w:rPr>
              <w:t>š</w:t>
            </w:r>
            <w:r w:rsidRPr="0068116D">
              <w:rPr>
                <w:sz w:val="22"/>
                <w:szCs w:val="22"/>
              </w:rPr>
              <w:t>us pat</w:t>
            </w:r>
            <w:r w:rsidRPr="0068116D">
              <w:rPr>
                <w:rFonts w:eastAsia="TimesNewRoman"/>
                <w:sz w:val="22"/>
                <w:szCs w:val="22"/>
              </w:rPr>
              <w:t>ē</w:t>
            </w:r>
            <w:r w:rsidRPr="0068116D">
              <w:rPr>
                <w:sz w:val="22"/>
                <w:szCs w:val="22"/>
              </w:rPr>
              <w:t>r</w:t>
            </w:r>
            <w:r w:rsidRPr="0068116D">
              <w:rPr>
                <w:rFonts w:eastAsia="TimesNewRoman"/>
                <w:sz w:val="22"/>
                <w:szCs w:val="22"/>
              </w:rPr>
              <w:t>ē</w:t>
            </w:r>
            <w:r w:rsidRPr="0068116D">
              <w:rPr>
                <w:sz w:val="22"/>
                <w:szCs w:val="22"/>
              </w:rPr>
              <w:t>t</w:t>
            </w:r>
            <w:r w:rsidRPr="0068116D">
              <w:rPr>
                <w:rFonts w:eastAsia="TimesNewRoman"/>
                <w:sz w:val="22"/>
                <w:szCs w:val="22"/>
              </w:rPr>
              <w:t>ā</w:t>
            </w:r>
            <w:r w:rsidRPr="0068116D">
              <w:rPr>
                <w:sz w:val="22"/>
                <w:szCs w:val="22"/>
              </w:rPr>
              <w:t>jus;</w:t>
            </w:r>
          </w:p>
        </w:tc>
      </w:tr>
      <w:tr w:rsidR="003201BF" w:rsidRPr="006843C7" w:rsidTr="00E04300">
        <w:tc>
          <w:tcPr>
            <w:tcW w:w="2235" w:type="dxa"/>
          </w:tcPr>
          <w:p w:rsidR="003201BF" w:rsidRPr="006843C7" w:rsidRDefault="003201BF" w:rsidP="004A34EA">
            <w:pPr>
              <w:ind w:firstLine="0"/>
              <w:rPr>
                <w:b/>
              </w:rPr>
            </w:pPr>
            <w:r w:rsidRPr="006843C7">
              <w:rPr>
                <w:b/>
              </w:rPr>
              <w:t>Starpkultūru izglītība</w:t>
            </w:r>
          </w:p>
        </w:tc>
        <w:tc>
          <w:tcPr>
            <w:tcW w:w="7938" w:type="dxa"/>
          </w:tcPr>
          <w:p w:rsidR="003201BF" w:rsidRPr="0068116D" w:rsidRDefault="003201BF" w:rsidP="00BB09A6">
            <w:pPr>
              <w:pStyle w:val="ListParagraph"/>
              <w:numPr>
                <w:ilvl w:val="0"/>
                <w:numId w:val="4"/>
              </w:numPr>
              <w:rPr>
                <w:sz w:val="22"/>
                <w:szCs w:val="22"/>
              </w:rPr>
            </w:pPr>
            <w:r w:rsidRPr="0068116D">
              <w:rPr>
                <w:sz w:val="22"/>
                <w:szCs w:val="22"/>
              </w:rPr>
              <w:t>izglītība, kas sekmē vairāku kultūru pašvērtības apzināšanos, lai paplašinātu redzesloku un veidotu iecietību un izpratni par kopīgo un atšķirīgo dažādu kultūru pasaules uzskatos, vērtībās, pārliecībās, ideālos un attieksmēs, kā arī pilnveidotu verbālās un neverbālās saziņas prasmi starp dažādu etnisko grupu un nacionālās izcelsmes cilvēkiem.</w:t>
            </w:r>
          </w:p>
        </w:tc>
      </w:tr>
    </w:tbl>
    <w:p w:rsidR="00327556" w:rsidRDefault="00327556"/>
    <w:sectPr w:rsidR="00327556" w:rsidSect="00BB09A6">
      <w:headerReference w:type="default" r:id="rId8"/>
      <w:pgSz w:w="12240" w:h="15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97" w:rsidRDefault="00B47A97" w:rsidP="0068116D">
      <w:r>
        <w:separator/>
      </w:r>
    </w:p>
  </w:endnote>
  <w:endnote w:type="continuationSeparator" w:id="0">
    <w:p w:rsidR="00B47A97" w:rsidRDefault="00B47A97" w:rsidP="0068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80F0000" w:usb2="00000010" w:usb3="00000000" w:csb0="0006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97" w:rsidRDefault="00B47A97" w:rsidP="0068116D">
      <w:r>
        <w:separator/>
      </w:r>
    </w:p>
  </w:footnote>
  <w:footnote w:type="continuationSeparator" w:id="0">
    <w:p w:rsidR="00B47A97" w:rsidRDefault="00B47A97" w:rsidP="00681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6D" w:rsidRDefault="0068116D" w:rsidP="0068116D">
    <w:pPr>
      <w:pStyle w:val="Footer"/>
      <w:ind w:firstLine="0"/>
      <w:jc w:val="center"/>
      <w:rPr>
        <w:lang w:val="en-US"/>
      </w:rPr>
    </w:pPr>
    <w:r>
      <w:rPr>
        <w:noProof/>
        <w:lang w:val="en-US" w:eastAsia="en-US"/>
      </w:rPr>
      <mc:AlternateContent>
        <mc:Choice Requires="wps">
          <w:drawing>
            <wp:anchor distT="4294967295" distB="4294967295" distL="114300" distR="114300" simplePos="0" relativeHeight="251659264" behindDoc="0" locked="0" layoutInCell="1" allowOverlap="1" wp14:anchorId="08404454" wp14:editId="2489F53A">
              <wp:simplePos x="0" y="0"/>
              <wp:positionH relativeFrom="column">
                <wp:posOffset>-116205</wp:posOffset>
              </wp:positionH>
              <wp:positionV relativeFrom="paragraph">
                <wp:posOffset>610235</wp:posOffset>
              </wp:positionV>
              <wp:extent cx="94107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9.15pt;margin-top:48.05pt;width:7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"/>
          </w:pict>
        </mc:Fallback>
      </mc:AlternateContent>
    </w:r>
    <w:r>
      <w:rPr>
        <w:noProof/>
        <w:lang w:val="en-US" w:eastAsia="en-US"/>
      </w:rPr>
      <w:drawing>
        <wp:inline distT="0" distB="0" distL="0" distR="0" wp14:anchorId="477CB8E8" wp14:editId="16CE6D35">
          <wp:extent cx="3801110" cy="68326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801110" cy="683260"/>
                  </a:xfrm>
                  <a:prstGeom prst="rect">
                    <a:avLst/>
                  </a:prstGeom>
                  <a:noFill/>
                  <a:ln w="9525">
                    <a:noFill/>
                    <a:miter lim="800000"/>
                    <a:headEnd/>
                    <a:tailEnd/>
                  </a:ln>
                </pic:spPr>
              </pic:pic>
            </a:graphicData>
          </a:graphic>
        </wp:inline>
      </w:drawing>
    </w:r>
  </w:p>
  <w:p w:rsidR="0068116D" w:rsidRPr="0068116D" w:rsidRDefault="0068116D" w:rsidP="0068116D">
    <w:pPr>
      <w:pStyle w:val="Footer"/>
      <w:ind w:firstLine="0"/>
      <w:jc w:val="center"/>
      <w:rPr>
        <w:lang w:val="en-US"/>
      </w:rPr>
    </w:pPr>
    <w:r w:rsidRPr="00157A75">
      <w:rPr>
        <w:bCs/>
        <w:sz w:val="20"/>
        <w:szCs w:val="16"/>
      </w:rPr>
      <w:t>Eiropas Sociālā fonda projekts “Inovatīva un praksē balstīta pedagogu izglītības ieguve un mentoru profesionālā pilnveide” Nr.2010/0096/1DP/1.2.1.2.3./09/IPIA/VIAA/001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115A"/>
    <w:multiLevelType w:val="hybridMultilevel"/>
    <w:tmpl w:val="C896B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8225356"/>
    <w:multiLevelType w:val="hybridMultilevel"/>
    <w:tmpl w:val="64D0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974D18"/>
    <w:multiLevelType w:val="hybridMultilevel"/>
    <w:tmpl w:val="B9A4457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7365370E"/>
    <w:multiLevelType w:val="hybridMultilevel"/>
    <w:tmpl w:val="A7C6C7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BF"/>
    <w:rsid w:val="003201BF"/>
    <w:rsid w:val="00327556"/>
    <w:rsid w:val="003C547D"/>
    <w:rsid w:val="00651241"/>
    <w:rsid w:val="0068116D"/>
    <w:rsid w:val="00B47A97"/>
    <w:rsid w:val="00BA5606"/>
    <w:rsid w:val="00BB09A6"/>
    <w:rsid w:val="00BB71C5"/>
    <w:rsid w:val="00E04300"/>
    <w:rsid w:val="00E443FC"/>
    <w:rsid w:val="00EC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BF"/>
    <w:pPr>
      <w:spacing w:after="0" w:line="240" w:lineRule="auto"/>
      <w:ind w:firstLine="720"/>
      <w:jc w:val="both"/>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1BF"/>
    <w:rPr>
      <w:b/>
      <w:bCs/>
    </w:rPr>
  </w:style>
  <w:style w:type="paragraph" w:styleId="ListParagraph">
    <w:name w:val="List Paragraph"/>
    <w:basedOn w:val="Normal"/>
    <w:uiPriority w:val="34"/>
    <w:qFormat/>
    <w:rsid w:val="003201BF"/>
    <w:pPr>
      <w:ind w:left="720"/>
      <w:contextualSpacing/>
    </w:pPr>
  </w:style>
  <w:style w:type="paragraph" w:styleId="NormalWeb">
    <w:name w:val="Normal (Web)"/>
    <w:basedOn w:val="Normal"/>
    <w:uiPriority w:val="99"/>
    <w:unhideWhenUsed/>
    <w:rsid w:val="00651241"/>
    <w:pPr>
      <w:spacing w:before="100" w:beforeAutospacing="1" w:after="100" w:afterAutospacing="1"/>
      <w:ind w:firstLine="0"/>
      <w:jc w:val="left"/>
    </w:pPr>
    <w:rPr>
      <w:lang w:val="en-US" w:eastAsia="en-US"/>
    </w:rPr>
  </w:style>
  <w:style w:type="paragraph" w:styleId="Header">
    <w:name w:val="header"/>
    <w:basedOn w:val="Normal"/>
    <w:link w:val="HeaderChar"/>
    <w:uiPriority w:val="99"/>
    <w:unhideWhenUsed/>
    <w:rsid w:val="0068116D"/>
    <w:pPr>
      <w:tabs>
        <w:tab w:val="center" w:pos="4680"/>
        <w:tab w:val="right" w:pos="9360"/>
      </w:tabs>
    </w:pPr>
  </w:style>
  <w:style w:type="character" w:customStyle="1" w:styleId="HeaderChar">
    <w:name w:val="Header Char"/>
    <w:basedOn w:val="DefaultParagraphFont"/>
    <w:link w:val="Header"/>
    <w:uiPriority w:val="99"/>
    <w:rsid w:val="0068116D"/>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68116D"/>
    <w:pPr>
      <w:tabs>
        <w:tab w:val="center" w:pos="4680"/>
        <w:tab w:val="right" w:pos="9360"/>
      </w:tabs>
    </w:pPr>
  </w:style>
  <w:style w:type="character" w:customStyle="1" w:styleId="FooterChar">
    <w:name w:val="Footer Char"/>
    <w:basedOn w:val="DefaultParagraphFont"/>
    <w:link w:val="Footer"/>
    <w:uiPriority w:val="99"/>
    <w:rsid w:val="0068116D"/>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68116D"/>
    <w:rPr>
      <w:rFonts w:ascii="Tahoma" w:hAnsi="Tahoma" w:cs="Tahoma"/>
      <w:sz w:val="16"/>
      <w:szCs w:val="16"/>
    </w:rPr>
  </w:style>
  <w:style w:type="character" w:customStyle="1" w:styleId="BalloonTextChar">
    <w:name w:val="Balloon Text Char"/>
    <w:basedOn w:val="DefaultParagraphFont"/>
    <w:link w:val="BalloonText"/>
    <w:uiPriority w:val="99"/>
    <w:semiHidden/>
    <w:rsid w:val="0068116D"/>
    <w:rPr>
      <w:rFonts w:ascii="Tahoma" w:eastAsia="Times New Roman" w:hAnsi="Tahoma" w:cs="Tahoma"/>
      <w:sz w:val="16"/>
      <w:szCs w:val="16"/>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BF"/>
    <w:pPr>
      <w:spacing w:after="0" w:line="240" w:lineRule="auto"/>
      <w:ind w:firstLine="720"/>
      <w:jc w:val="both"/>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1BF"/>
    <w:rPr>
      <w:b/>
      <w:bCs/>
    </w:rPr>
  </w:style>
  <w:style w:type="paragraph" w:styleId="ListParagraph">
    <w:name w:val="List Paragraph"/>
    <w:basedOn w:val="Normal"/>
    <w:uiPriority w:val="34"/>
    <w:qFormat/>
    <w:rsid w:val="003201BF"/>
    <w:pPr>
      <w:ind w:left="720"/>
      <w:contextualSpacing/>
    </w:pPr>
  </w:style>
  <w:style w:type="paragraph" w:styleId="NormalWeb">
    <w:name w:val="Normal (Web)"/>
    <w:basedOn w:val="Normal"/>
    <w:uiPriority w:val="99"/>
    <w:unhideWhenUsed/>
    <w:rsid w:val="00651241"/>
    <w:pPr>
      <w:spacing w:before="100" w:beforeAutospacing="1" w:after="100" w:afterAutospacing="1"/>
      <w:ind w:firstLine="0"/>
      <w:jc w:val="left"/>
    </w:pPr>
    <w:rPr>
      <w:lang w:val="en-US" w:eastAsia="en-US"/>
    </w:rPr>
  </w:style>
  <w:style w:type="paragraph" w:styleId="Header">
    <w:name w:val="header"/>
    <w:basedOn w:val="Normal"/>
    <w:link w:val="HeaderChar"/>
    <w:uiPriority w:val="99"/>
    <w:unhideWhenUsed/>
    <w:rsid w:val="0068116D"/>
    <w:pPr>
      <w:tabs>
        <w:tab w:val="center" w:pos="4680"/>
        <w:tab w:val="right" w:pos="9360"/>
      </w:tabs>
    </w:pPr>
  </w:style>
  <w:style w:type="character" w:customStyle="1" w:styleId="HeaderChar">
    <w:name w:val="Header Char"/>
    <w:basedOn w:val="DefaultParagraphFont"/>
    <w:link w:val="Header"/>
    <w:uiPriority w:val="99"/>
    <w:rsid w:val="0068116D"/>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68116D"/>
    <w:pPr>
      <w:tabs>
        <w:tab w:val="center" w:pos="4680"/>
        <w:tab w:val="right" w:pos="9360"/>
      </w:tabs>
    </w:pPr>
  </w:style>
  <w:style w:type="character" w:customStyle="1" w:styleId="FooterChar">
    <w:name w:val="Footer Char"/>
    <w:basedOn w:val="DefaultParagraphFont"/>
    <w:link w:val="Footer"/>
    <w:uiPriority w:val="99"/>
    <w:rsid w:val="0068116D"/>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68116D"/>
    <w:rPr>
      <w:rFonts w:ascii="Tahoma" w:hAnsi="Tahoma" w:cs="Tahoma"/>
      <w:sz w:val="16"/>
      <w:szCs w:val="16"/>
    </w:rPr>
  </w:style>
  <w:style w:type="character" w:customStyle="1" w:styleId="BalloonTextChar">
    <w:name w:val="Balloon Text Char"/>
    <w:basedOn w:val="DefaultParagraphFont"/>
    <w:link w:val="BalloonText"/>
    <w:uiPriority w:val="99"/>
    <w:semiHidden/>
    <w:rsid w:val="0068116D"/>
    <w:rPr>
      <w:rFonts w:ascii="Tahoma" w:eastAsia="Times New Roman" w:hAnsi="Tahoma" w:cs="Tahoma"/>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6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Skolotajs</dc:creator>
  <cp:lastModifiedBy>Skolotajs</cp:lastModifiedBy>
  <cp:revision>5</cp:revision>
  <dcterms:created xsi:type="dcterms:W3CDTF">2013-06-25T12:53:00Z</dcterms:created>
  <dcterms:modified xsi:type="dcterms:W3CDTF">2013-06-25T13:03:00Z</dcterms:modified>
</cp:coreProperties>
</file>